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D9FF" w14:textId="324BB7BA" w:rsidR="007D1111" w:rsidRPr="007D1111" w:rsidRDefault="007D1111" w:rsidP="007D1111">
      <w:pPr>
        <w:pStyle w:val="Title"/>
        <w:rPr>
          <w:rFonts w:ascii="Bookman Old Style" w:hAnsi="Bookman Old Style"/>
          <w:noProof/>
          <w:sz w:val="20"/>
          <w:szCs w:val="20"/>
        </w:rPr>
      </w:pPr>
      <w:r w:rsidRPr="007D1111">
        <w:rPr>
          <w:rFonts w:ascii="Bookman Old Style" w:hAnsi="Bookman Old Style"/>
          <w:noProof/>
          <w:sz w:val="20"/>
          <w:szCs w:val="20"/>
        </w:rPr>
        <w:t>Education and Training Fundamentals</w:t>
      </w:r>
    </w:p>
    <w:p w14:paraId="4DECD48B" w14:textId="77777777" w:rsidR="007D1111" w:rsidRPr="007D1111" w:rsidRDefault="007D1111" w:rsidP="007D1111">
      <w:pPr>
        <w:jc w:val="center"/>
        <w:rPr>
          <w:rFonts w:ascii="Bookman Old Style" w:hAnsi="Bookman Old Style"/>
          <w:bCs/>
          <w:sz w:val="20"/>
          <w:szCs w:val="20"/>
        </w:rPr>
      </w:pPr>
      <w:r w:rsidRPr="007D1111">
        <w:rPr>
          <w:rFonts w:ascii="Bookman Old Style" w:hAnsi="Bookman Old Style"/>
          <w:bCs/>
          <w:sz w:val="20"/>
          <w:szCs w:val="20"/>
        </w:rPr>
        <w:t>Education and Training Career Cluster: Teaching and Training</w:t>
      </w:r>
    </w:p>
    <w:p w14:paraId="11A2A839" w14:textId="77777777" w:rsidR="007D1111" w:rsidRPr="007D1111" w:rsidRDefault="007D1111" w:rsidP="007D1111">
      <w:pPr>
        <w:jc w:val="center"/>
        <w:rPr>
          <w:rFonts w:ascii="Bookman Old Style" w:hAnsi="Bookman Old Style"/>
          <w:bCs/>
          <w:sz w:val="20"/>
          <w:szCs w:val="20"/>
        </w:rPr>
      </w:pPr>
      <w:r w:rsidRPr="007D1111">
        <w:rPr>
          <w:rFonts w:ascii="Bookman Old Style" w:hAnsi="Bookman Old Style"/>
          <w:bCs/>
          <w:sz w:val="20"/>
          <w:szCs w:val="20"/>
        </w:rPr>
        <w:t xml:space="preserve">Course Syllabus - Saraland High </w:t>
      </w:r>
    </w:p>
    <w:p w14:paraId="281C5060" w14:textId="62EB42BF" w:rsidR="007D1111" w:rsidRPr="007D1111" w:rsidRDefault="007D1111" w:rsidP="007D1111">
      <w:pPr>
        <w:jc w:val="center"/>
        <w:rPr>
          <w:rFonts w:ascii="Bookman Old Style" w:hAnsi="Bookman Old Style"/>
          <w:sz w:val="20"/>
          <w:szCs w:val="20"/>
        </w:rPr>
      </w:pPr>
      <w:r w:rsidRPr="007D1111">
        <w:rPr>
          <w:rFonts w:ascii="Bookman Old Style" w:hAnsi="Bookman Old Style"/>
          <w:bCs/>
          <w:sz w:val="20"/>
          <w:szCs w:val="20"/>
        </w:rPr>
        <w:t>Ms. Randle - 202</w:t>
      </w:r>
      <w:r w:rsidR="00706FFA">
        <w:rPr>
          <w:rFonts w:ascii="Bookman Old Style" w:hAnsi="Bookman Old Style"/>
          <w:bCs/>
          <w:sz w:val="20"/>
          <w:szCs w:val="20"/>
        </w:rPr>
        <w:t>3</w:t>
      </w:r>
      <w:r w:rsidRPr="007D1111">
        <w:rPr>
          <w:rFonts w:ascii="Bookman Old Style" w:hAnsi="Bookman Old Style"/>
          <w:bCs/>
          <w:sz w:val="20"/>
          <w:szCs w:val="20"/>
        </w:rPr>
        <w:t>-202</w:t>
      </w:r>
      <w:r w:rsidR="00706FFA">
        <w:rPr>
          <w:rFonts w:ascii="Bookman Old Style" w:hAnsi="Bookman Old Style"/>
          <w:bCs/>
          <w:sz w:val="20"/>
          <w:szCs w:val="20"/>
        </w:rPr>
        <w:t>4</w:t>
      </w:r>
    </w:p>
    <w:p w14:paraId="3A1EC6BC" w14:textId="52C9E599" w:rsidR="00000000" w:rsidRDefault="007D1111">
      <w:r>
        <w:rPr>
          <w:rFonts w:ascii="Bookman Old Style" w:hAnsi="Bookman Old Style"/>
          <w:noProof/>
        </w:rPr>
        <mc:AlternateContent>
          <mc:Choice Requires="wps">
            <w:drawing>
              <wp:anchor distT="0" distB="0" distL="114300" distR="114300" simplePos="0" relativeHeight="251659264" behindDoc="0" locked="0" layoutInCell="1" allowOverlap="1" wp14:anchorId="237AF637" wp14:editId="51A42F58">
                <wp:simplePos x="0" y="0"/>
                <wp:positionH relativeFrom="column">
                  <wp:posOffset>301625</wp:posOffset>
                </wp:positionH>
                <wp:positionV relativeFrom="paragraph">
                  <wp:posOffset>26109</wp:posOffset>
                </wp:positionV>
                <wp:extent cx="5202314" cy="285750"/>
                <wp:effectExtent l="0" t="0" r="5080" b="635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02314" cy="28575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A24825" w14:textId="77777777" w:rsidR="007D1111" w:rsidRPr="00D2423B" w:rsidRDefault="007D1111" w:rsidP="007D1111">
                            <w:pPr>
                              <w:rPr>
                                <w:sz w:val="22"/>
                                <w:szCs w:val="20"/>
                              </w:rPr>
                            </w:pPr>
                            <w:r w:rsidRPr="00891608">
                              <w:rPr>
                                <w:sz w:val="21"/>
                                <w:szCs w:val="21"/>
                              </w:rPr>
                              <w:t xml:space="preserve">**Saraland High School will abide by any/all state and local health agencies’ directives. </w:t>
                            </w:r>
                            <w:r>
                              <w:rPr>
                                <w:sz w:val="21"/>
                                <w:szCs w:val="21"/>
                              </w:rPr>
                              <w:t>**</w:t>
                            </w:r>
                            <w:r w:rsidRPr="00D2423B">
                              <w:rPr>
                                <w:sz w:val="22"/>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AF637" id="_x0000_t202" coordsize="21600,21600" o:spt="202" path="m,l,21600r21600,l21600,xe">
                <v:stroke joinstyle="miter"/>
                <v:path gradientshapeok="t" o:connecttype="rect"/>
              </v:shapetype>
              <v:shape id="Text Box 88" o:spid="_x0000_s1026" type="#_x0000_t202" style="position:absolute;margin-left:23.75pt;margin-top:2.05pt;width:409.6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" filled="f" strokecolor="red">
                <v:path arrowok="t"/>
                <v:textbox>
                  <w:txbxContent>
                    <w:p w14:paraId="2DA24825" w14:textId="77777777" w:rsidR="007D1111" w:rsidRPr="00D2423B" w:rsidRDefault="007D1111" w:rsidP="007D1111">
                      <w:pPr>
                        <w:rPr>
                          <w:sz w:val="22"/>
                          <w:szCs w:val="20"/>
                        </w:rPr>
                      </w:pPr>
                      <w:r w:rsidRPr="00891608">
                        <w:rPr>
                          <w:sz w:val="21"/>
                          <w:szCs w:val="21"/>
                        </w:rPr>
                        <w:t xml:space="preserve">**Saraland High School will abide by any/all state and local health agencies’ directives. </w:t>
                      </w:r>
                      <w:r>
                        <w:rPr>
                          <w:sz w:val="21"/>
                          <w:szCs w:val="21"/>
                        </w:rPr>
                        <w:t>**</w:t>
                      </w:r>
                      <w:r w:rsidRPr="00D2423B">
                        <w:rPr>
                          <w:sz w:val="22"/>
                          <w:szCs w:val="20"/>
                        </w:rPr>
                        <w:t xml:space="preserve"> </w:t>
                      </w:r>
                    </w:p>
                  </w:txbxContent>
                </v:textbox>
              </v:shape>
            </w:pict>
          </mc:Fallback>
        </mc:AlternateContent>
      </w:r>
    </w:p>
    <w:p w14:paraId="7B5268C5" w14:textId="133DF976" w:rsidR="007D1111" w:rsidRPr="007D1111" w:rsidRDefault="007D1111" w:rsidP="007D1111">
      <w:pPr>
        <w:pStyle w:val="NormalWeb"/>
        <w:rPr>
          <w:rFonts w:ascii="Bookman Old Style" w:eastAsia="Times New Roman" w:hAnsi="Bookman Old Style"/>
          <w:sz w:val="18"/>
          <w:szCs w:val="18"/>
        </w:rPr>
      </w:pPr>
      <w:r w:rsidRPr="007D1111">
        <w:rPr>
          <w:rFonts w:ascii="Bookman Old Style" w:hAnsi="Bookman Old Style"/>
          <w:b/>
          <w:sz w:val="18"/>
          <w:szCs w:val="18"/>
          <w:u w:val="single"/>
        </w:rPr>
        <w:t>COURSE DESCRIPTION:</w:t>
      </w:r>
      <w:r w:rsidRPr="007D1111">
        <w:rPr>
          <w:rFonts w:ascii="Bookman Old Style" w:hAnsi="Bookman Old Style"/>
          <w:sz w:val="18"/>
          <w:szCs w:val="18"/>
        </w:rPr>
        <w:t xml:space="preserve">  </w:t>
      </w:r>
      <w:r w:rsidRPr="007D1111">
        <w:rPr>
          <w:rFonts w:ascii="Bookman Old Style" w:eastAsia="Times New Roman" w:hAnsi="Bookman Old Style"/>
          <w:sz w:val="18"/>
          <w:szCs w:val="18"/>
        </w:rPr>
        <w:t xml:space="preserve">Education and Training is a one-credit course. This course is the prerequisite for all pathways included in the Education and Training cluster. The course is designed for students who are interested in pursuing careers in education. Course content includes the organizational structure of education, careers, the role of the teacher, characteristics of effective teachers, communication skills, the teaching and learning processes, learning styles, research, characteristics of positive classroom environments, human growth and development, curriculum development, student characteristics, teaching techniques, learning activities, educational initiatives, technology, and careers. Observational experiences are a required component of this course. </w:t>
      </w:r>
    </w:p>
    <w:p w14:paraId="238A4E98" w14:textId="11605112" w:rsidR="007D1111" w:rsidRPr="007D1111" w:rsidRDefault="007D1111" w:rsidP="007D1111">
      <w:pPr>
        <w:rPr>
          <w:rFonts w:ascii="Bookman Old Style" w:hAnsi="Bookman Old Style"/>
          <w:bCs/>
          <w:sz w:val="18"/>
          <w:szCs w:val="18"/>
        </w:rPr>
      </w:pPr>
      <w:r w:rsidRPr="007D1111">
        <w:rPr>
          <w:rFonts w:ascii="Bookman Old Style" w:hAnsi="Bookman Old Style"/>
          <w:b/>
          <w:bCs/>
          <w:sz w:val="18"/>
          <w:szCs w:val="18"/>
          <w:u w:val="single"/>
        </w:rPr>
        <w:t>PREREQUISITE:</w:t>
      </w:r>
      <w:r w:rsidRPr="007D1111">
        <w:rPr>
          <w:rFonts w:ascii="Bookman Old Style" w:hAnsi="Bookman Old Style"/>
          <w:bCs/>
          <w:sz w:val="18"/>
          <w:szCs w:val="18"/>
        </w:rPr>
        <w:t xml:space="preserve">  N/A</w:t>
      </w:r>
    </w:p>
    <w:p w14:paraId="0BF5EEF8" w14:textId="77777777" w:rsidR="007D1111" w:rsidRPr="007D1111" w:rsidRDefault="007D1111" w:rsidP="007D1111">
      <w:pPr>
        <w:pStyle w:val="NoSpacing"/>
        <w:rPr>
          <w:rFonts w:ascii="Bookman Old Style" w:hAnsi="Bookman Old Style"/>
          <w:b/>
          <w:sz w:val="18"/>
          <w:szCs w:val="18"/>
          <w:u w:val="single"/>
        </w:rPr>
      </w:pPr>
    </w:p>
    <w:p w14:paraId="74DD5A16" w14:textId="25E3D112" w:rsidR="007D1111" w:rsidRPr="007D1111" w:rsidRDefault="007D1111" w:rsidP="007D1111">
      <w:pPr>
        <w:pStyle w:val="NoSpacing"/>
        <w:rPr>
          <w:rFonts w:ascii="Bookman Old Style" w:hAnsi="Bookman Old Style"/>
          <w:sz w:val="18"/>
          <w:szCs w:val="18"/>
        </w:rPr>
      </w:pPr>
      <w:r w:rsidRPr="007D1111">
        <w:rPr>
          <w:rFonts w:ascii="Bookman Old Style" w:hAnsi="Bookman Old Style"/>
          <w:b/>
          <w:sz w:val="18"/>
          <w:szCs w:val="18"/>
          <w:u w:val="single"/>
        </w:rPr>
        <w:t>PROGRAM/INSTRUCTIONAL DELIVERY PLAN:</w:t>
      </w:r>
      <w:r w:rsidRPr="007D1111">
        <w:rPr>
          <w:rFonts w:ascii="Bookman Old Style" w:hAnsi="Bookman Old Style"/>
          <w:b/>
          <w:sz w:val="18"/>
          <w:szCs w:val="18"/>
        </w:rPr>
        <w:t xml:space="preserve"> </w:t>
      </w:r>
      <w:r w:rsidRPr="007D1111">
        <w:rPr>
          <w:rFonts w:ascii="Bookman Old Style" w:hAnsi="Bookman Old Style"/>
          <w:sz w:val="18"/>
          <w:szCs w:val="18"/>
        </w:rPr>
        <w:t xml:space="preserve"> </w:t>
      </w:r>
      <w:r w:rsidRPr="007D1111">
        <w:rPr>
          <w:rFonts w:ascii="Bookman Old Style" w:eastAsia="Times New Roman" w:hAnsi="Bookman Old Style"/>
          <w:sz w:val="18"/>
          <w:szCs w:val="18"/>
        </w:rPr>
        <w:t xml:space="preserve">This cluster prepares high school students for careers in the education and training field in three pathway areas: Administration and Professional Support Services, Early Childhood Education, and Teaching and Training. Rigorous instruction is provided to equip students with knowledge and skills needed in preparation for credentials, articulated credit, and/or further education. Students will </w:t>
      </w:r>
      <w:r>
        <w:rPr>
          <w:rFonts w:ascii="Bookman Old Style" w:eastAsia="Times New Roman" w:hAnsi="Bookman Old Style"/>
          <w:sz w:val="18"/>
          <w:szCs w:val="18"/>
        </w:rPr>
        <w:t xml:space="preserve">learn the basic fundamentals of different school levels, districts, the education system, as well as, budgeting, lesson-planning, and safety. </w:t>
      </w:r>
    </w:p>
    <w:p w14:paraId="6AD5EE75" w14:textId="77777777" w:rsidR="007D1111" w:rsidRPr="007D1111" w:rsidRDefault="007D1111" w:rsidP="007D1111">
      <w:pPr>
        <w:pStyle w:val="NormalWeb"/>
        <w:spacing w:before="0" w:beforeAutospacing="0" w:after="0" w:afterAutospacing="0"/>
        <w:rPr>
          <w:rFonts w:ascii="Bookman Old Style" w:hAnsi="Bookman Old Style"/>
          <w:b/>
          <w:bCs/>
          <w:sz w:val="18"/>
          <w:szCs w:val="18"/>
          <w:u w:val="single"/>
        </w:rPr>
      </w:pPr>
    </w:p>
    <w:p w14:paraId="2C29F112" w14:textId="77777777" w:rsidR="007D1111" w:rsidRPr="007D1111" w:rsidRDefault="007D1111" w:rsidP="007D1111">
      <w:pPr>
        <w:pStyle w:val="NormalWeb"/>
        <w:spacing w:before="0" w:beforeAutospacing="0" w:after="0" w:afterAutospacing="0"/>
        <w:rPr>
          <w:rFonts w:ascii="Bookman Old Style" w:hAnsi="Bookman Old Style"/>
          <w:b/>
          <w:bCs/>
          <w:sz w:val="18"/>
          <w:szCs w:val="18"/>
        </w:rPr>
      </w:pPr>
      <w:r w:rsidRPr="007D1111">
        <w:rPr>
          <w:rFonts w:ascii="Bookman Old Style" w:hAnsi="Bookman Old Style"/>
          <w:b/>
          <w:bCs/>
          <w:sz w:val="18"/>
          <w:szCs w:val="18"/>
          <w:u w:val="single"/>
        </w:rPr>
        <w:t>COURSE GOAL</w:t>
      </w:r>
      <w:r w:rsidRPr="007D1111">
        <w:rPr>
          <w:rFonts w:ascii="Bookman Old Style" w:hAnsi="Bookman Old Style"/>
          <w:b/>
          <w:bCs/>
          <w:sz w:val="18"/>
          <w:szCs w:val="18"/>
        </w:rPr>
        <w:t xml:space="preserve">: </w:t>
      </w:r>
    </w:p>
    <w:p w14:paraId="74702498" w14:textId="3CA07870" w:rsidR="000722BA" w:rsidRPr="00706FFA" w:rsidRDefault="000722BA" w:rsidP="000722BA">
      <w:pPr>
        <w:numPr>
          <w:ilvl w:val="0"/>
          <w:numId w:val="8"/>
        </w:num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Describe effective communication skills required in the teaching, administration, and professional support services professions. </w:t>
      </w:r>
    </w:p>
    <w:p w14:paraId="569D4EB5" w14:textId="77777777" w:rsidR="000722BA" w:rsidRPr="00706FFA" w:rsidRDefault="000722BA" w:rsidP="000722BA">
      <w:pPr>
        <w:numPr>
          <w:ilvl w:val="0"/>
          <w:numId w:val="8"/>
        </w:num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Determine professional organizations that impact the education profession. </w:t>
      </w:r>
    </w:p>
    <w:p w14:paraId="44F5155F" w14:textId="44A140E4" w:rsidR="007D1111" w:rsidRPr="00706FFA" w:rsidRDefault="000722BA" w:rsidP="000722BA">
      <w:pPr>
        <w:pStyle w:val="NormalWeb"/>
        <w:numPr>
          <w:ilvl w:val="0"/>
          <w:numId w:val="8"/>
        </w:numPr>
        <w:spacing w:before="0" w:beforeAutospacing="0" w:after="0" w:afterAutospacing="0"/>
        <w:rPr>
          <w:rFonts w:ascii="Bookman Old Style" w:hAnsi="Bookman Old Style"/>
          <w:b/>
          <w:bCs/>
          <w:sz w:val="16"/>
          <w:szCs w:val="16"/>
        </w:rPr>
      </w:pPr>
      <w:r w:rsidRPr="00706FFA">
        <w:rPr>
          <w:rFonts w:ascii="Bookman Old Style" w:hAnsi="Bookman Old Style"/>
          <w:sz w:val="16"/>
          <w:szCs w:val="16"/>
        </w:rPr>
        <w:t>Identify the history, current trends, initiatives, and issues in education within the United States.</w:t>
      </w:r>
    </w:p>
    <w:p w14:paraId="38F1D0BA" w14:textId="77777777" w:rsidR="000722BA" w:rsidRPr="00706FFA" w:rsidRDefault="000722BA" w:rsidP="000722BA">
      <w:pPr>
        <w:numPr>
          <w:ilvl w:val="0"/>
          <w:numId w:val="8"/>
        </w:num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Apply mathematical, reading, writing, critical-thinking and problem-solving skills to effectively perform in the educational setting. </w:t>
      </w:r>
    </w:p>
    <w:p w14:paraId="79433B13" w14:textId="107788C7" w:rsidR="000722BA" w:rsidRPr="00706FFA" w:rsidRDefault="000722BA" w:rsidP="000722BA">
      <w:pPr>
        <w:numPr>
          <w:ilvl w:val="0"/>
          <w:numId w:val="8"/>
        </w:num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Explain the impact of goal-setting, teamwork, and required skills in the field of education. </w:t>
      </w:r>
    </w:p>
    <w:p w14:paraId="0941AE96" w14:textId="77777777" w:rsidR="007D1111" w:rsidRPr="007D1111" w:rsidRDefault="007D1111" w:rsidP="007D1111">
      <w:pPr>
        <w:rPr>
          <w:rFonts w:ascii="Bookman Old Style" w:hAnsi="Bookman Old Style"/>
          <w:b/>
          <w:sz w:val="18"/>
          <w:szCs w:val="18"/>
          <w:u w:val="single"/>
        </w:rPr>
      </w:pPr>
      <w:r w:rsidRPr="007D1111">
        <w:rPr>
          <w:rFonts w:ascii="Bookman Old Style" w:hAnsi="Bookman Old Style"/>
          <w:b/>
          <w:sz w:val="18"/>
          <w:szCs w:val="18"/>
          <w:u w:val="single"/>
        </w:rPr>
        <w:t>ASSESSMENT PROCEDURES:</w:t>
      </w:r>
      <w:r w:rsidRPr="007D1111">
        <w:rPr>
          <w:rFonts w:ascii="Bookman Old Style" w:hAnsi="Bookman Old Style"/>
          <w:sz w:val="18"/>
          <w:szCs w:val="18"/>
        </w:rPr>
        <w:t xml:space="preserve">  Students will be assessed by their performance on projects, reports, presentations, lesson planning, and teaching. </w:t>
      </w:r>
    </w:p>
    <w:p w14:paraId="37D37880" w14:textId="77777777" w:rsidR="007D1111" w:rsidRPr="007D1111" w:rsidRDefault="007D1111" w:rsidP="007D1111">
      <w:pPr>
        <w:rPr>
          <w:rFonts w:ascii="Bookman Old Style" w:hAnsi="Bookman Old Style"/>
          <w:b/>
          <w:sz w:val="18"/>
          <w:szCs w:val="18"/>
          <w:u w:val="single"/>
        </w:rPr>
      </w:pPr>
    </w:p>
    <w:p w14:paraId="46C28F55" w14:textId="77777777" w:rsidR="007D1111" w:rsidRPr="007D1111" w:rsidRDefault="007D1111" w:rsidP="007D1111">
      <w:pPr>
        <w:rPr>
          <w:rFonts w:ascii="Bookman Old Style" w:hAnsi="Bookman Old Style"/>
          <w:sz w:val="18"/>
          <w:szCs w:val="18"/>
        </w:rPr>
      </w:pPr>
      <w:r w:rsidRPr="007D1111">
        <w:rPr>
          <w:rFonts w:ascii="Bookman Old Style" w:hAnsi="Bookman Old Style"/>
          <w:b/>
          <w:sz w:val="18"/>
          <w:szCs w:val="18"/>
          <w:u w:val="single"/>
        </w:rPr>
        <w:t>SAFETY TESTS:</w:t>
      </w:r>
      <w:r w:rsidRPr="007D1111">
        <w:rPr>
          <w:rFonts w:ascii="Bookman Old Style" w:hAnsi="Bookman Old Style"/>
          <w:sz w:val="18"/>
          <w:szCs w:val="18"/>
        </w:rPr>
        <w:t xml:space="preserve">  There is ONE formal test in the class that MUST be passed with 100% in order to receive credit.  Students may take the test up to two (2) times without penalty.  After that, the student will receive the highest grade received during their attempts.  However, the student will NOT be allowed to participate in activities in which their safety could be a concern.  </w:t>
      </w:r>
    </w:p>
    <w:p w14:paraId="310178A3" w14:textId="77777777" w:rsidR="007D1111" w:rsidRPr="007D1111" w:rsidRDefault="007D1111" w:rsidP="007D1111">
      <w:pPr>
        <w:rPr>
          <w:rFonts w:ascii="Bookman Old Style" w:hAnsi="Bookman Old Style"/>
          <w:b/>
          <w:sz w:val="18"/>
          <w:szCs w:val="18"/>
          <w:u w:val="single"/>
        </w:rPr>
      </w:pPr>
    </w:p>
    <w:p w14:paraId="207DC701" w14:textId="77777777" w:rsidR="007D1111" w:rsidRPr="007D1111" w:rsidRDefault="007D1111" w:rsidP="007D1111">
      <w:pPr>
        <w:rPr>
          <w:rFonts w:ascii="Bookman Old Style" w:hAnsi="Bookman Old Style"/>
          <w:b/>
          <w:sz w:val="18"/>
          <w:szCs w:val="18"/>
          <w:u w:val="single"/>
        </w:rPr>
      </w:pPr>
      <w:r w:rsidRPr="007D1111">
        <w:rPr>
          <w:rFonts w:ascii="Bookman Old Style" w:hAnsi="Bookman Old Style"/>
          <w:b/>
          <w:sz w:val="18"/>
          <w:szCs w:val="18"/>
          <w:u w:val="single"/>
        </w:rPr>
        <w:t>GRADING SCALE:</w:t>
      </w:r>
      <w:r w:rsidRPr="007D1111">
        <w:rPr>
          <w:rFonts w:ascii="Bookman Old Style" w:hAnsi="Bookman Old Style"/>
          <w:b/>
          <w:sz w:val="18"/>
          <w:szCs w:val="18"/>
        </w:rPr>
        <w:t xml:space="preserve">  </w:t>
      </w:r>
      <w:r w:rsidRPr="007D1111">
        <w:rPr>
          <w:rFonts w:ascii="Bookman Old Style" w:hAnsi="Bookman Old Style"/>
          <w:bCs/>
          <w:sz w:val="18"/>
          <w:szCs w:val="18"/>
        </w:rPr>
        <w:t xml:space="preserve">Objective Tests/Projects/Labs – </w:t>
      </w:r>
      <w:r w:rsidRPr="007D1111">
        <w:rPr>
          <w:rFonts w:ascii="Bookman Old Style" w:hAnsi="Bookman Old Style"/>
          <w:bCs/>
          <w:sz w:val="18"/>
          <w:szCs w:val="18"/>
          <w:u w:val="single"/>
        </w:rPr>
        <w:t>60%</w:t>
      </w:r>
    </w:p>
    <w:p w14:paraId="14483746" w14:textId="77777777" w:rsidR="007D1111" w:rsidRPr="007D1111" w:rsidRDefault="007D1111" w:rsidP="007D1111">
      <w:pPr>
        <w:rPr>
          <w:rFonts w:ascii="Bookman Old Style" w:hAnsi="Bookman Old Style"/>
          <w:bCs/>
          <w:sz w:val="18"/>
          <w:szCs w:val="18"/>
        </w:rPr>
      </w:pPr>
      <w:r w:rsidRPr="007D1111">
        <w:rPr>
          <w:rFonts w:ascii="Bookman Old Style" w:hAnsi="Bookman Old Style"/>
          <w:bCs/>
          <w:sz w:val="18"/>
          <w:szCs w:val="18"/>
        </w:rPr>
        <w:t xml:space="preserve">                             Teacher’s Choice (projects, quizzes, participation, etc.)- </w:t>
      </w:r>
      <w:r w:rsidRPr="007D1111">
        <w:rPr>
          <w:rFonts w:ascii="Bookman Old Style" w:hAnsi="Bookman Old Style"/>
          <w:bCs/>
          <w:sz w:val="18"/>
          <w:szCs w:val="18"/>
          <w:u w:val="single"/>
        </w:rPr>
        <w:t>40%</w:t>
      </w:r>
    </w:p>
    <w:p w14:paraId="317D3DF7" w14:textId="77777777" w:rsidR="007D1111" w:rsidRPr="007D1111" w:rsidRDefault="007D1111" w:rsidP="007D1111">
      <w:pPr>
        <w:autoSpaceDE w:val="0"/>
        <w:autoSpaceDN w:val="0"/>
        <w:adjustRightInd w:val="0"/>
        <w:rPr>
          <w:rFonts w:ascii="Bookman Old Style" w:hAnsi="Bookman Old Style"/>
          <w:b/>
          <w:sz w:val="18"/>
          <w:szCs w:val="18"/>
          <w:u w:val="single"/>
        </w:rPr>
      </w:pPr>
      <w:r w:rsidRPr="007D1111">
        <w:rPr>
          <w:rFonts w:ascii="Bookman Old Style" w:hAnsi="Bookman Old Style"/>
          <w:noProof/>
          <w:sz w:val="18"/>
          <w:szCs w:val="18"/>
        </w:rPr>
        <w:drawing>
          <wp:anchor distT="0" distB="0" distL="114300" distR="114300" simplePos="0" relativeHeight="251662336" behindDoc="1" locked="0" layoutInCell="1" allowOverlap="1" wp14:anchorId="45E0E0C2" wp14:editId="121A22BE">
            <wp:simplePos x="0" y="0"/>
            <wp:positionH relativeFrom="column">
              <wp:posOffset>496570</wp:posOffset>
            </wp:positionH>
            <wp:positionV relativeFrom="paragraph">
              <wp:posOffset>118110</wp:posOffset>
            </wp:positionV>
            <wp:extent cx="496570" cy="266065"/>
            <wp:effectExtent l="0" t="0" r="0" b="635"/>
            <wp:wrapTight wrapText="bothSides">
              <wp:wrapPolygon edited="0">
                <wp:start x="0" y="0"/>
                <wp:lineTo x="0" y="20621"/>
                <wp:lineTo x="20992" y="20621"/>
                <wp:lineTo x="20992" y="0"/>
                <wp:lineTo x="0" y="0"/>
              </wp:wrapPolygon>
            </wp:wrapTight>
            <wp:docPr id="9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570" cy="266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F6C97E" w14:textId="77777777" w:rsidR="007D1111" w:rsidRDefault="007D1111" w:rsidP="007D1111">
      <w:pPr>
        <w:autoSpaceDE w:val="0"/>
        <w:autoSpaceDN w:val="0"/>
        <w:adjustRightInd w:val="0"/>
        <w:rPr>
          <w:rFonts w:ascii="Bookman Old Style" w:hAnsi="Bookman Old Style"/>
          <w:sz w:val="18"/>
          <w:szCs w:val="18"/>
        </w:rPr>
      </w:pPr>
      <w:r w:rsidRPr="007D1111">
        <w:rPr>
          <w:rFonts w:ascii="Bookman Old Style" w:hAnsi="Bookman Old Style"/>
          <w:b/>
          <w:sz w:val="18"/>
          <w:szCs w:val="18"/>
          <w:u w:val="single"/>
        </w:rPr>
        <w:t xml:space="preserve">CTSO: </w:t>
      </w:r>
      <w:r w:rsidRPr="007D1111">
        <w:rPr>
          <w:rFonts w:ascii="Bookman Old Style" w:hAnsi="Bookman Old Style"/>
          <w:sz w:val="18"/>
          <w:szCs w:val="18"/>
        </w:rPr>
        <w:t xml:space="preserve"> </w:t>
      </w:r>
    </w:p>
    <w:p w14:paraId="2A728E60" w14:textId="77777777" w:rsidR="007D1111" w:rsidRDefault="007D1111" w:rsidP="007D1111">
      <w:pPr>
        <w:autoSpaceDE w:val="0"/>
        <w:autoSpaceDN w:val="0"/>
        <w:adjustRightInd w:val="0"/>
        <w:rPr>
          <w:rFonts w:ascii="Bookman Old Style" w:hAnsi="Bookman Old Style"/>
          <w:sz w:val="18"/>
          <w:szCs w:val="18"/>
        </w:rPr>
      </w:pPr>
    </w:p>
    <w:p w14:paraId="34E7FDAE" w14:textId="37CA5F38" w:rsidR="007D1111" w:rsidRPr="007D1111" w:rsidRDefault="007D1111" w:rsidP="007D1111">
      <w:pPr>
        <w:autoSpaceDE w:val="0"/>
        <w:autoSpaceDN w:val="0"/>
        <w:adjustRightInd w:val="0"/>
        <w:rPr>
          <w:rFonts w:ascii="Bookman Old Style" w:hAnsi="Bookman Old Style"/>
          <w:sz w:val="18"/>
          <w:szCs w:val="18"/>
        </w:rPr>
      </w:pPr>
      <w:r w:rsidRPr="007D1111">
        <w:rPr>
          <w:rFonts w:ascii="Bookman Old Style" w:hAnsi="Bookman Old Style"/>
          <w:sz w:val="18"/>
          <w:szCs w:val="18"/>
        </w:rPr>
        <w:t>Career and technical student organizations (</w:t>
      </w:r>
      <w:r w:rsidRPr="007D1111">
        <w:rPr>
          <w:rFonts w:ascii="Bookman Old Style" w:hAnsi="Bookman Old Style"/>
          <w:b/>
          <w:sz w:val="18"/>
          <w:szCs w:val="18"/>
        </w:rPr>
        <w:t>FCCLA</w:t>
      </w:r>
      <w:r w:rsidRPr="007D1111">
        <w:rPr>
          <w:rFonts w:ascii="Bookman Old Style" w:hAnsi="Bookman Old Style"/>
          <w:sz w:val="18"/>
          <w:szCs w:val="18"/>
        </w:rPr>
        <w:t>) are integral, cocurricular components of each career and technical education course. These organizations</w:t>
      </w:r>
      <w:r>
        <w:rPr>
          <w:rFonts w:ascii="Bookman Old Style" w:hAnsi="Bookman Old Style"/>
          <w:sz w:val="18"/>
          <w:szCs w:val="18"/>
        </w:rPr>
        <w:t xml:space="preserve"> </w:t>
      </w:r>
      <w:r w:rsidRPr="007D1111">
        <w:rPr>
          <w:rFonts w:ascii="Bookman Old Style" w:hAnsi="Bookman Old Style"/>
          <w:sz w:val="18"/>
          <w:szCs w:val="18"/>
        </w:rPr>
        <w:t>serve as a means to enhance classroom instruction while helping students develop leadership abilities, expand workplace-readiness skills, and broaden opportunities for personal and professional growth.</w:t>
      </w:r>
    </w:p>
    <w:p w14:paraId="35117783" w14:textId="77777777" w:rsidR="000722BA" w:rsidRDefault="007D1111" w:rsidP="007D1111">
      <w:pPr>
        <w:pStyle w:val="NormalWeb"/>
        <w:shd w:val="clear" w:color="auto" w:fill="FFFFFF"/>
        <w:rPr>
          <w:rFonts w:ascii="Bookman Old Style" w:eastAsia="Times New Roman" w:hAnsi="Bookman Old Style" w:cs="Calibri"/>
          <w:sz w:val="18"/>
          <w:szCs w:val="18"/>
        </w:rPr>
      </w:pPr>
      <w:r w:rsidRPr="007D1111">
        <w:rPr>
          <w:rFonts w:ascii="Bookman Old Style" w:hAnsi="Bookman Old Style"/>
          <w:b/>
          <w:bCs/>
          <w:sz w:val="18"/>
          <w:szCs w:val="18"/>
          <w:u w:val="single"/>
        </w:rPr>
        <w:t>EMBEDDED LITERACY/ NUMERACY</w:t>
      </w:r>
      <w:r w:rsidRPr="007D1111">
        <w:rPr>
          <w:rFonts w:ascii="Bookman Old Style" w:hAnsi="Bookman Old Style"/>
          <w:b/>
          <w:bCs/>
          <w:sz w:val="18"/>
          <w:szCs w:val="18"/>
        </w:rPr>
        <w:t xml:space="preserve">: </w:t>
      </w:r>
      <w:r w:rsidRPr="007D1111">
        <w:rPr>
          <w:rFonts w:ascii="Bookman Old Style" w:hAnsi="Bookman Old Style"/>
          <w:sz w:val="18"/>
          <w:szCs w:val="18"/>
        </w:rPr>
        <w:t xml:space="preserve">Teaching and Training STAR Event FCCLA: Students will </w:t>
      </w:r>
      <w:r w:rsidRPr="007D1111">
        <w:rPr>
          <w:rFonts w:ascii="Bookman Old Style" w:eastAsia="Times New Roman" w:hAnsi="Bookman Old Style"/>
          <w:sz w:val="18"/>
          <w:szCs w:val="18"/>
        </w:rPr>
        <w:t xml:space="preserve">develop a teaching portfolio with </w:t>
      </w:r>
      <w:r w:rsidRPr="007D1111">
        <w:rPr>
          <w:rFonts w:ascii="Bookman Old Style" w:eastAsia="Times New Roman" w:hAnsi="Bookman Old Style" w:cs="Calibri"/>
          <w:sz w:val="18"/>
          <w:szCs w:val="18"/>
        </w:rPr>
        <w:t xml:space="preserve">written summaries of interviews from business, industry, agency, and organizations, or a written narrative of job shadowing. Students will create a monthly budget with their future teaching salary demonstrating knowledge of mathematics. </w:t>
      </w:r>
    </w:p>
    <w:p w14:paraId="669042DD" w14:textId="4BCCBC73" w:rsidR="0014545C" w:rsidRDefault="007D1111" w:rsidP="007D1111">
      <w:pPr>
        <w:pStyle w:val="NormalWeb"/>
        <w:shd w:val="clear" w:color="auto" w:fill="FFFFFF"/>
        <w:rPr>
          <w:rFonts w:ascii="Bookman Old Style" w:eastAsia="Times New Roman" w:hAnsi="Bookman Old Style" w:cs="Calibri"/>
          <w:sz w:val="18"/>
          <w:szCs w:val="18"/>
        </w:rPr>
      </w:pPr>
      <w:r w:rsidRPr="00610C6B">
        <w:rPr>
          <w:rFonts w:ascii="Bookman Old Style" w:hAnsi="Bookman Old Style"/>
          <w:b/>
          <w:sz w:val="18"/>
          <w:szCs w:val="18"/>
          <w:u w:val="single"/>
        </w:rPr>
        <w:t>STUDENT INDUSTRY CREDENTIAL:</w:t>
      </w:r>
      <w:r w:rsidRPr="00610C6B">
        <w:rPr>
          <w:rFonts w:ascii="Bookman Old Style" w:hAnsi="Bookman Old Style"/>
          <w:sz w:val="18"/>
          <w:szCs w:val="18"/>
        </w:rPr>
        <w:t xml:space="preserve"> </w:t>
      </w:r>
      <w:r w:rsidR="00706FFA">
        <w:rPr>
          <w:rFonts w:ascii="Bookman Old Style" w:hAnsi="Bookman Old Style"/>
          <w:sz w:val="18"/>
          <w:szCs w:val="18"/>
        </w:rPr>
        <w:t>N/A</w:t>
      </w:r>
    </w:p>
    <w:p w14:paraId="4F8329E8" w14:textId="235A9EF1" w:rsidR="007D1111" w:rsidRPr="0014545C" w:rsidRDefault="007D1111" w:rsidP="007D1111">
      <w:pPr>
        <w:pStyle w:val="NormalWeb"/>
        <w:shd w:val="clear" w:color="auto" w:fill="FFFFFF"/>
        <w:rPr>
          <w:rFonts w:ascii="Bookman Old Style" w:eastAsia="Times New Roman" w:hAnsi="Bookman Old Style" w:cs="Calibri"/>
          <w:sz w:val="18"/>
          <w:szCs w:val="18"/>
        </w:rPr>
      </w:pPr>
      <w:r>
        <w:rPr>
          <w:noProof/>
        </w:rPr>
        <w:lastRenderedPageBreak/>
        <w:drawing>
          <wp:anchor distT="0" distB="0" distL="114300" distR="114300" simplePos="0" relativeHeight="251661312" behindDoc="1" locked="0" layoutInCell="1" allowOverlap="1" wp14:anchorId="34CD16CA" wp14:editId="3AF01248">
            <wp:simplePos x="0" y="0"/>
            <wp:positionH relativeFrom="column">
              <wp:posOffset>993775</wp:posOffset>
            </wp:positionH>
            <wp:positionV relativeFrom="paragraph">
              <wp:posOffset>133350</wp:posOffset>
            </wp:positionV>
            <wp:extent cx="711200" cy="365760"/>
            <wp:effectExtent l="0" t="0" r="0" b="0"/>
            <wp:wrapTight wrapText="bothSides">
              <wp:wrapPolygon edited="0">
                <wp:start x="0" y="0"/>
                <wp:lineTo x="0" y="17250"/>
                <wp:lineTo x="771" y="21000"/>
                <wp:lineTo x="1543" y="21000"/>
                <wp:lineTo x="19671" y="21000"/>
                <wp:lineTo x="20443" y="21000"/>
                <wp:lineTo x="21214" y="17250"/>
                <wp:lineTo x="21214" y="0"/>
                <wp:lineTo x="0" y="0"/>
              </wp:wrapPolygon>
            </wp:wrapTight>
            <wp:docPr id="8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200"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FC961" w14:textId="77777777" w:rsidR="007D1111" w:rsidRDefault="007D1111" w:rsidP="007D1111">
      <w:pPr>
        <w:rPr>
          <w:rFonts w:ascii="Bookman Old Style" w:hAnsi="Bookman Old Style"/>
          <w:sz w:val="18"/>
          <w:szCs w:val="18"/>
        </w:rPr>
      </w:pPr>
      <w:r w:rsidRPr="00610C6B">
        <w:rPr>
          <w:rFonts w:ascii="Bookman Old Style" w:hAnsi="Bookman Old Style"/>
          <w:b/>
          <w:bCs/>
          <w:sz w:val="18"/>
          <w:szCs w:val="18"/>
          <w:u w:val="single"/>
        </w:rPr>
        <w:t>COURSE FEE</w:t>
      </w:r>
      <w:r w:rsidRPr="00610C6B">
        <w:rPr>
          <w:rFonts w:ascii="Bookman Old Style" w:hAnsi="Bookman Old Style"/>
          <w:b/>
          <w:bCs/>
          <w:sz w:val="18"/>
          <w:szCs w:val="18"/>
        </w:rPr>
        <w:t>:</w:t>
      </w:r>
      <w:r w:rsidRPr="00610C6B">
        <w:rPr>
          <w:rFonts w:ascii="Bookman Old Style" w:hAnsi="Bookman Old Style"/>
          <w:sz w:val="18"/>
          <w:szCs w:val="18"/>
        </w:rPr>
        <w:t xml:space="preserve">  </w:t>
      </w:r>
    </w:p>
    <w:p w14:paraId="5D86A577" w14:textId="77777777" w:rsidR="007D1111" w:rsidRDefault="007D1111" w:rsidP="007D1111">
      <w:pPr>
        <w:rPr>
          <w:rFonts w:ascii="Bookman Old Style" w:hAnsi="Bookman Old Style"/>
          <w:sz w:val="18"/>
          <w:szCs w:val="18"/>
        </w:rPr>
      </w:pPr>
    </w:p>
    <w:p w14:paraId="092F4C0F" w14:textId="66A070B9" w:rsidR="007D1111" w:rsidRPr="00C352D5" w:rsidRDefault="007D1111" w:rsidP="007D1111">
      <w:pPr>
        <w:rPr>
          <w:rFonts w:ascii="Bookman Old Style" w:hAnsi="Bookman Old Style"/>
          <w:sz w:val="18"/>
          <w:szCs w:val="18"/>
        </w:rPr>
      </w:pPr>
      <w:r w:rsidRPr="00C352D5">
        <w:rPr>
          <w:rFonts w:ascii="Bookman Old Style" w:hAnsi="Bookman Old Style"/>
          <w:sz w:val="18"/>
          <w:szCs w:val="18"/>
        </w:rPr>
        <w:t xml:space="preserve">There is a required </w:t>
      </w:r>
      <w:r w:rsidRPr="00C352D5">
        <w:rPr>
          <w:rFonts w:ascii="Bookman Old Style" w:hAnsi="Bookman Old Style"/>
          <w:b/>
          <w:sz w:val="18"/>
          <w:szCs w:val="18"/>
          <w:u w:val="single"/>
        </w:rPr>
        <w:t>$25.00</w:t>
      </w:r>
      <w:r w:rsidRPr="00C352D5">
        <w:rPr>
          <w:rFonts w:ascii="Bookman Old Style" w:hAnsi="Bookman Old Style"/>
          <w:sz w:val="18"/>
          <w:szCs w:val="18"/>
        </w:rPr>
        <w:t xml:space="preserve"> course fee</w:t>
      </w:r>
      <w:r>
        <w:rPr>
          <w:rFonts w:ascii="Bookman Old Style" w:hAnsi="Bookman Old Style"/>
          <w:sz w:val="18"/>
          <w:szCs w:val="18"/>
        </w:rPr>
        <w:t xml:space="preserve">. </w:t>
      </w:r>
      <w:r w:rsidRPr="00C352D5">
        <w:rPr>
          <w:rFonts w:ascii="Bookman Old Style" w:hAnsi="Bookman Old Style"/>
          <w:sz w:val="18"/>
          <w:szCs w:val="18"/>
        </w:rPr>
        <w:t>Students who do not pay the course fee</w:t>
      </w:r>
      <w:r>
        <w:rPr>
          <w:rFonts w:ascii="Bookman Old Style" w:hAnsi="Bookman Old Style"/>
          <w:sz w:val="18"/>
          <w:szCs w:val="18"/>
        </w:rPr>
        <w:t xml:space="preserve"> </w:t>
      </w:r>
      <w:r w:rsidRPr="00C352D5">
        <w:rPr>
          <w:rFonts w:ascii="Bookman Old Style" w:hAnsi="Bookman Old Style"/>
          <w:sz w:val="18"/>
          <w:szCs w:val="18"/>
        </w:rPr>
        <w:t>will not be able to participate in labs nor will they receive their schedule the following school year</w:t>
      </w:r>
      <w:r>
        <w:rPr>
          <w:rFonts w:ascii="Bookman Old Style" w:hAnsi="Bookman Old Style"/>
          <w:sz w:val="18"/>
          <w:szCs w:val="18"/>
        </w:rPr>
        <w:t xml:space="preserve"> </w:t>
      </w:r>
      <w:r w:rsidRPr="00C352D5">
        <w:rPr>
          <w:rFonts w:ascii="Bookman Old Style" w:hAnsi="Bookman Old Style"/>
          <w:sz w:val="18"/>
          <w:szCs w:val="18"/>
        </w:rPr>
        <w:t xml:space="preserve">until the fee has been paid.  Please take care of this as soon as possible. </w:t>
      </w:r>
    </w:p>
    <w:p w14:paraId="76859F55" w14:textId="77777777" w:rsidR="007D1111" w:rsidRDefault="007D1111" w:rsidP="007D1111">
      <w:pPr>
        <w:rPr>
          <w:rFonts w:ascii="Bookman Old Style" w:hAnsi="Bookman Old Style"/>
          <w:b/>
          <w:bCs/>
          <w:sz w:val="20"/>
          <w:szCs w:val="18"/>
          <w:u w:val="single"/>
        </w:rPr>
      </w:pPr>
    </w:p>
    <w:p w14:paraId="19465417" w14:textId="2FD864C6" w:rsidR="007D1111" w:rsidRPr="00706FFA" w:rsidRDefault="007D1111" w:rsidP="007D1111">
      <w:pPr>
        <w:rPr>
          <w:rFonts w:ascii="Bookman Old Style" w:hAnsi="Bookman Old Style"/>
          <w:bCs/>
          <w:sz w:val="16"/>
          <w:szCs w:val="16"/>
        </w:rPr>
      </w:pPr>
      <w:r w:rsidRPr="00706FFA">
        <w:rPr>
          <w:rFonts w:ascii="Bookman Old Style" w:hAnsi="Bookman Old Style"/>
          <w:b/>
          <w:bCs/>
          <w:sz w:val="16"/>
          <w:szCs w:val="16"/>
          <w:u w:val="single"/>
        </w:rPr>
        <w:t>SUPPLY LIST</w:t>
      </w:r>
      <w:r w:rsidRPr="00706FFA">
        <w:rPr>
          <w:rFonts w:ascii="Bookman Old Style" w:hAnsi="Bookman Old Style"/>
          <w:b/>
          <w:bCs/>
          <w:sz w:val="16"/>
          <w:szCs w:val="16"/>
        </w:rPr>
        <w:t xml:space="preserve">: </w:t>
      </w:r>
      <w:r w:rsidRPr="00706FFA">
        <w:rPr>
          <w:rFonts w:ascii="Bookman Old Style" w:hAnsi="Bookman Old Style"/>
          <w:bCs/>
          <w:sz w:val="16"/>
          <w:szCs w:val="16"/>
        </w:rPr>
        <w:t>3 prong folder, pens and pencils, highlighters, project supplies (when needed), cell phone, laptop</w:t>
      </w:r>
    </w:p>
    <w:p w14:paraId="1B9ED37A" w14:textId="666DBE96" w:rsidR="007D1111" w:rsidRDefault="007D1111" w:rsidP="007D1111">
      <w:pPr>
        <w:rPr>
          <w:rFonts w:ascii="Bookman Old Style" w:hAnsi="Bookman Old Style"/>
          <w:bCs/>
          <w:sz w:val="18"/>
          <w:szCs w:val="18"/>
        </w:rPr>
      </w:pPr>
    </w:p>
    <w:p w14:paraId="1B355B28" w14:textId="033502D0" w:rsidR="00A90F21" w:rsidRPr="00706FFA" w:rsidRDefault="00A90F21" w:rsidP="007D1111">
      <w:pPr>
        <w:rPr>
          <w:rFonts w:ascii="Bookman Old Style" w:hAnsi="Bookman Old Style"/>
          <w:b/>
          <w:sz w:val="16"/>
          <w:szCs w:val="16"/>
          <w:u w:val="single"/>
        </w:rPr>
      </w:pPr>
      <w:r w:rsidRPr="00706FFA">
        <w:rPr>
          <w:rFonts w:ascii="Bookman Old Style" w:hAnsi="Bookman Old Style"/>
          <w:b/>
          <w:sz w:val="16"/>
          <w:szCs w:val="16"/>
          <w:u w:val="single"/>
        </w:rPr>
        <w:t>COURSE OUTLINE:</w:t>
      </w:r>
    </w:p>
    <w:p w14:paraId="2F7C6947" w14:textId="7513C75F" w:rsidR="007D1111" w:rsidRPr="00706FFA" w:rsidRDefault="007D1111" w:rsidP="007D1111">
      <w:pPr>
        <w:numPr>
          <w:ilvl w:val="0"/>
          <w:numId w:val="2"/>
        </w:num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Apply mathematical, reading, writing, critical-thinking and problem-solving skills to effectively perform in the educational setting. </w:t>
      </w:r>
    </w:p>
    <w:p w14:paraId="52DF96A5" w14:textId="77777777" w:rsidR="007D1111" w:rsidRPr="00706FFA" w:rsidRDefault="007D1111" w:rsidP="007D1111">
      <w:pPr>
        <w:numPr>
          <w:ilvl w:val="0"/>
          <w:numId w:val="2"/>
        </w:num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Describe standards, policies, and procedures for an educational setting to ensure safe and healthy environments, including managing, reporting, and documenting emergency situations. </w:t>
      </w:r>
    </w:p>
    <w:p w14:paraId="66A30737" w14:textId="77777777" w:rsidR="007D1111" w:rsidRPr="00706FFA" w:rsidRDefault="007D1111" w:rsidP="007D1111">
      <w:pPr>
        <w:numPr>
          <w:ilvl w:val="0"/>
          <w:numId w:val="2"/>
        </w:num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Explain the impact of goal-setting, teamwork, and required skills in the field of education. </w:t>
      </w:r>
    </w:p>
    <w:p w14:paraId="1758A991" w14:textId="77777777" w:rsidR="007D1111" w:rsidRPr="00706FFA" w:rsidRDefault="007D1111" w:rsidP="007D1111">
      <w:p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 Recognizing the importance of FCCLA programs to the field of education </w:t>
      </w:r>
    </w:p>
    <w:p w14:paraId="3F6DD852" w14:textId="77777777" w:rsidR="007D1111" w:rsidRPr="00706FFA" w:rsidRDefault="007D1111" w:rsidP="007D1111">
      <w:pPr>
        <w:numPr>
          <w:ilvl w:val="0"/>
          <w:numId w:val="3"/>
        </w:num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Interpret the Alabama Quality Teaching Standards and the Alabama Educator Code of Ethics for professional guidance. </w:t>
      </w:r>
    </w:p>
    <w:p w14:paraId="7410A7EA" w14:textId="77777777" w:rsidR="007D1111" w:rsidRPr="00706FFA" w:rsidRDefault="007D1111" w:rsidP="007D1111">
      <w:pPr>
        <w:numPr>
          <w:ilvl w:val="0"/>
          <w:numId w:val="3"/>
        </w:num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Determine professional organizations that impact the education profession. </w:t>
      </w:r>
    </w:p>
    <w:p w14:paraId="3E06ABF3" w14:textId="77777777" w:rsidR="007D1111" w:rsidRPr="00706FFA" w:rsidRDefault="007D1111" w:rsidP="007D1111">
      <w:p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Field of Education </w:t>
      </w:r>
    </w:p>
    <w:p w14:paraId="20FF7181" w14:textId="77777777" w:rsidR="007D1111" w:rsidRPr="00706FFA" w:rsidRDefault="007D1111" w:rsidP="007D1111">
      <w:pPr>
        <w:numPr>
          <w:ilvl w:val="0"/>
          <w:numId w:val="4"/>
        </w:num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Analyze the organizational structure and funding sources for education in the United States at the national, state, and local level. </w:t>
      </w:r>
    </w:p>
    <w:p w14:paraId="02B22EBE" w14:textId="77777777" w:rsidR="007D1111" w:rsidRPr="00706FFA" w:rsidRDefault="007D1111" w:rsidP="007D1111">
      <w:pPr>
        <w:numPr>
          <w:ilvl w:val="0"/>
          <w:numId w:val="4"/>
        </w:num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Identify the history, current trends, initiatives, and issues in education within the United States. Examples: character education, reading, financial literacy, school safety </w:t>
      </w:r>
    </w:p>
    <w:p w14:paraId="138FC21F" w14:textId="28C79D39" w:rsidR="007D1111" w:rsidRPr="00706FFA" w:rsidRDefault="007D1111" w:rsidP="007D1111">
      <w:pPr>
        <w:numPr>
          <w:ilvl w:val="0"/>
          <w:numId w:val="4"/>
        </w:num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Evaluate the impact of the physical, emotional, social, and intellectual development of learners of various ages on the teaching and learning processes. Examples: preschool, elementary, intermediate, middle school, high school, college, adult </w:t>
      </w:r>
    </w:p>
    <w:p w14:paraId="431D0A23" w14:textId="77777777" w:rsidR="007D1111" w:rsidRPr="00706FFA" w:rsidRDefault="007D1111" w:rsidP="007D1111">
      <w:p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Faculty and Staff </w:t>
      </w:r>
    </w:p>
    <w:p w14:paraId="4C1ABF03" w14:textId="77777777" w:rsidR="007D1111" w:rsidRPr="00706FFA" w:rsidRDefault="007D1111" w:rsidP="007D1111">
      <w:pPr>
        <w:numPr>
          <w:ilvl w:val="0"/>
          <w:numId w:val="5"/>
        </w:num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Critique the role of the teacher, administrator, and professional support personnel in the educational system. </w:t>
      </w:r>
    </w:p>
    <w:p w14:paraId="391EB39A" w14:textId="77777777" w:rsidR="007D1111" w:rsidRPr="00706FFA" w:rsidRDefault="007D1111" w:rsidP="007D1111">
      <w:pPr>
        <w:numPr>
          <w:ilvl w:val="0"/>
          <w:numId w:val="5"/>
        </w:num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Analyze characteristics of teachers, administrators, and professional support personnel for effectiveness in the educational system. </w:t>
      </w:r>
    </w:p>
    <w:p w14:paraId="69DCE8CB" w14:textId="77777777" w:rsidR="007D1111" w:rsidRPr="00706FFA" w:rsidRDefault="007D1111" w:rsidP="007D1111">
      <w:pPr>
        <w:numPr>
          <w:ilvl w:val="0"/>
          <w:numId w:val="5"/>
        </w:num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Describe effective communication skills required in the teaching, administration, and professional support services professions. </w:t>
      </w:r>
    </w:p>
    <w:p w14:paraId="5ADBA962" w14:textId="77777777" w:rsidR="007D1111" w:rsidRPr="00706FFA" w:rsidRDefault="007D1111" w:rsidP="007D1111">
      <w:p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Teaching </w:t>
      </w:r>
    </w:p>
    <w:p w14:paraId="415B777A" w14:textId="4F4FF291" w:rsidR="007D1111" w:rsidRPr="00706FFA" w:rsidRDefault="007D1111" w:rsidP="007D1111">
      <w:pPr>
        <w:spacing w:before="100" w:beforeAutospacing="1" w:after="100" w:afterAutospacing="1"/>
        <w:rPr>
          <w:rFonts w:ascii="Bookman Old Style" w:hAnsi="Bookman Old Style"/>
          <w:sz w:val="16"/>
          <w:szCs w:val="16"/>
        </w:rPr>
      </w:pPr>
      <w:r w:rsidRPr="00706FFA">
        <w:rPr>
          <w:rFonts w:ascii="Bookman Old Style" w:hAnsi="Bookman Old Style"/>
          <w:sz w:val="16"/>
          <w:szCs w:val="16"/>
        </w:rPr>
        <w:t>12. Determine steps utilized in the teaching and learning processes.</w:t>
      </w:r>
      <w:r w:rsidRPr="00706FFA">
        <w:rPr>
          <w:rFonts w:ascii="Bookman Old Style" w:hAnsi="Bookman Old Style"/>
          <w:sz w:val="16"/>
          <w:szCs w:val="16"/>
        </w:rPr>
        <w:br/>
        <w:t>13. Describe an environment conducive to learning.</w:t>
      </w:r>
      <w:r w:rsidRPr="00706FFA">
        <w:rPr>
          <w:rFonts w:ascii="Bookman Old Style" w:hAnsi="Bookman Old Style"/>
          <w:sz w:val="16"/>
          <w:szCs w:val="16"/>
        </w:rPr>
        <w:br/>
        <w:t xml:space="preserve">14. Analyze learning styles and teaching methods to determine impact on student achievement. </w:t>
      </w:r>
    </w:p>
    <w:p w14:paraId="24B3EB16" w14:textId="54C6FCFA" w:rsidR="007D1111" w:rsidRPr="00706FFA" w:rsidRDefault="007D1111" w:rsidP="007D1111">
      <w:p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Curriculum </w:t>
      </w:r>
    </w:p>
    <w:p w14:paraId="254E6AC2" w14:textId="77777777" w:rsidR="007D1111" w:rsidRPr="00706FFA" w:rsidRDefault="007D1111" w:rsidP="007D1111">
      <w:pPr>
        <w:numPr>
          <w:ilvl w:val="0"/>
          <w:numId w:val="6"/>
        </w:num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Compare differences in student characteristics that impact the way in which curricula is planned, implemented, assessed, and revised. </w:t>
      </w:r>
    </w:p>
    <w:p w14:paraId="4C625E0E" w14:textId="77777777" w:rsidR="007D1111" w:rsidRPr="00706FFA" w:rsidRDefault="007D1111" w:rsidP="007D1111">
      <w:pPr>
        <w:numPr>
          <w:ilvl w:val="0"/>
          <w:numId w:val="6"/>
        </w:num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Analyze the process of designing curricula for achieving student excellence. </w:t>
      </w:r>
    </w:p>
    <w:p w14:paraId="74BF2729" w14:textId="77777777" w:rsidR="007D1111" w:rsidRPr="00706FFA" w:rsidRDefault="007D1111" w:rsidP="007D1111">
      <w:pPr>
        <w:numPr>
          <w:ilvl w:val="0"/>
          <w:numId w:val="6"/>
        </w:num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Compare types of data used to assess student achievement and to plan curricula. </w:t>
      </w:r>
    </w:p>
    <w:p w14:paraId="644E3532" w14:textId="77777777" w:rsidR="007D1111" w:rsidRPr="00706FFA" w:rsidRDefault="007D1111" w:rsidP="007D1111">
      <w:p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Technology and Careers </w:t>
      </w:r>
    </w:p>
    <w:p w14:paraId="275BAF2F" w14:textId="77777777" w:rsidR="007D1111" w:rsidRPr="00706FFA" w:rsidRDefault="007D1111" w:rsidP="007D1111">
      <w:pPr>
        <w:numPr>
          <w:ilvl w:val="0"/>
          <w:numId w:val="7"/>
        </w:num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Determine the impact of technology on the field of education. </w:t>
      </w:r>
    </w:p>
    <w:p w14:paraId="393E19A7" w14:textId="77777777" w:rsidR="007D1111" w:rsidRPr="00706FFA" w:rsidRDefault="007D1111" w:rsidP="007D1111">
      <w:pPr>
        <w:numPr>
          <w:ilvl w:val="0"/>
          <w:numId w:val="7"/>
        </w:num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Utilize information technology to assess, manage, and integrate effective data communication and documents in the field of education. • Utilizing charts and graphs to summarize data </w:t>
      </w:r>
    </w:p>
    <w:p w14:paraId="61A26C39" w14:textId="77B18CCB" w:rsidR="007D1111" w:rsidRPr="00706FFA" w:rsidRDefault="007D1111" w:rsidP="007D1111">
      <w:pPr>
        <w:numPr>
          <w:ilvl w:val="0"/>
          <w:numId w:val="7"/>
        </w:numPr>
        <w:spacing w:before="100" w:beforeAutospacing="1" w:after="100" w:afterAutospacing="1"/>
        <w:rPr>
          <w:rFonts w:ascii="Bookman Old Style" w:hAnsi="Bookman Old Style"/>
          <w:sz w:val="16"/>
          <w:szCs w:val="16"/>
        </w:rPr>
      </w:pPr>
      <w:r w:rsidRPr="00706FFA">
        <w:rPr>
          <w:rFonts w:ascii="Bookman Old Style" w:hAnsi="Bookman Old Style"/>
          <w:sz w:val="16"/>
          <w:szCs w:val="16"/>
        </w:rPr>
        <w:t xml:space="preserve">20. Analyze career options, credentials, and entrepreneurial opportunities related to the field of education. </w:t>
      </w:r>
    </w:p>
    <w:sectPr w:rsidR="007D1111" w:rsidRPr="00706FFA" w:rsidSect="00DF18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47EB" w14:textId="77777777" w:rsidR="006F0E4C" w:rsidRDefault="006F0E4C" w:rsidP="007D1111">
      <w:r>
        <w:separator/>
      </w:r>
    </w:p>
  </w:endnote>
  <w:endnote w:type="continuationSeparator" w:id="0">
    <w:p w14:paraId="4428B230" w14:textId="77777777" w:rsidR="006F0E4C" w:rsidRDefault="006F0E4C" w:rsidP="007D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007020202"/>
    <w:charset w:val="4D"/>
    <w:family w:val="decorative"/>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E1B0" w14:textId="77777777" w:rsidR="006F0E4C" w:rsidRDefault="006F0E4C" w:rsidP="007D1111">
      <w:r>
        <w:separator/>
      </w:r>
    </w:p>
  </w:footnote>
  <w:footnote w:type="continuationSeparator" w:id="0">
    <w:p w14:paraId="08FB806B" w14:textId="77777777" w:rsidR="006F0E4C" w:rsidRDefault="006F0E4C" w:rsidP="007D1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5338"/>
    <w:multiLevelType w:val="multilevel"/>
    <w:tmpl w:val="83AA932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A16E3"/>
    <w:multiLevelType w:val="hybridMultilevel"/>
    <w:tmpl w:val="2FC28B30"/>
    <w:lvl w:ilvl="0" w:tplc="CC44C8C8">
      <w:start w:val="20"/>
      <w:numFmt w:val="bullet"/>
      <w:lvlText w:val="-"/>
      <w:lvlJc w:val="left"/>
      <w:pPr>
        <w:ind w:left="1080" w:hanging="360"/>
      </w:pPr>
      <w:rPr>
        <w:rFonts w:ascii="Bookman Old Style" w:eastAsia="MS Mincho" w:hAnsi="Bookman Old Style" w:cs="Times New Roman"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B33E63"/>
    <w:multiLevelType w:val="hybridMultilevel"/>
    <w:tmpl w:val="9334BF14"/>
    <w:lvl w:ilvl="0" w:tplc="FE1C4626">
      <w:start w:val="1"/>
      <w:numFmt w:val="bullet"/>
      <w:lvlText w:val="-"/>
      <w:lvlJc w:val="left"/>
      <w:pPr>
        <w:ind w:left="720" w:hanging="360"/>
      </w:pPr>
      <w:rPr>
        <w:rFonts w:ascii="Bookman Old Style" w:eastAsia="MS Mincho" w:hAnsi="Bookman Old Style"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70C3E"/>
    <w:multiLevelType w:val="multilevel"/>
    <w:tmpl w:val="C5562B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562464"/>
    <w:multiLevelType w:val="multilevel"/>
    <w:tmpl w:val="74D208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AF2BCF"/>
    <w:multiLevelType w:val="multilevel"/>
    <w:tmpl w:val="E316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124721"/>
    <w:multiLevelType w:val="multilevel"/>
    <w:tmpl w:val="DC4CE6F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95073E"/>
    <w:multiLevelType w:val="multilevel"/>
    <w:tmpl w:val="0E983A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7563853">
    <w:abstractNumId w:val="2"/>
  </w:num>
  <w:num w:numId="2" w16cid:durableId="300574915">
    <w:abstractNumId w:val="5"/>
  </w:num>
  <w:num w:numId="3" w16cid:durableId="1304188952">
    <w:abstractNumId w:val="4"/>
  </w:num>
  <w:num w:numId="4" w16cid:durableId="1518890759">
    <w:abstractNumId w:val="7"/>
  </w:num>
  <w:num w:numId="5" w16cid:durableId="516040698">
    <w:abstractNumId w:val="3"/>
  </w:num>
  <w:num w:numId="6" w16cid:durableId="1859780729">
    <w:abstractNumId w:val="6"/>
  </w:num>
  <w:num w:numId="7" w16cid:durableId="1060981161">
    <w:abstractNumId w:val="0"/>
  </w:num>
  <w:num w:numId="8" w16cid:durableId="1963683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11"/>
    <w:rsid w:val="00071756"/>
    <w:rsid w:val="000722BA"/>
    <w:rsid w:val="0014545C"/>
    <w:rsid w:val="00173230"/>
    <w:rsid w:val="006F0E4C"/>
    <w:rsid w:val="00706FFA"/>
    <w:rsid w:val="007D1111"/>
    <w:rsid w:val="008B69EE"/>
    <w:rsid w:val="00A90F21"/>
    <w:rsid w:val="00DF183E"/>
    <w:rsid w:val="00E1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2D9B"/>
  <w15:chartTrackingRefBased/>
  <w15:docId w15:val="{9B60DDF8-799A-6840-AE9B-FA7107CF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11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D1111"/>
    <w:pPr>
      <w:jc w:val="center"/>
    </w:pPr>
    <w:rPr>
      <w:rFonts w:ascii="Tempus Sans ITC" w:hAnsi="Tempus Sans ITC"/>
      <w:b/>
      <w:bCs/>
      <w:sz w:val="32"/>
      <w:u w:val="single"/>
    </w:rPr>
  </w:style>
  <w:style w:type="character" w:customStyle="1" w:styleId="TitleChar">
    <w:name w:val="Title Char"/>
    <w:basedOn w:val="DefaultParagraphFont"/>
    <w:link w:val="Title"/>
    <w:rsid w:val="007D1111"/>
    <w:rPr>
      <w:rFonts w:ascii="Tempus Sans ITC" w:eastAsia="Times New Roman" w:hAnsi="Tempus Sans ITC" w:cs="Times New Roman"/>
      <w:b/>
      <w:bCs/>
      <w:sz w:val="32"/>
      <w:u w:val="single"/>
    </w:rPr>
  </w:style>
  <w:style w:type="paragraph" w:styleId="ListParagraph">
    <w:name w:val="List Paragraph"/>
    <w:basedOn w:val="Normal"/>
    <w:uiPriority w:val="34"/>
    <w:qFormat/>
    <w:rsid w:val="007D1111"/>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7D1111"/>
    <w:pPr>
      <w:spacing w:before="100" w:beforeAutospacing="1" w:after="100" w:afterAutospacing="1"/>
    </w:pPr>
    <w:rPr>
      <w:rFonts w:ascii="Times" w:eastAsia="MS Mincho" w:hAnsi="Times"/>
      <w:sz w:val="20"/>
      <w:szCs w:val="20"/>
    </w:rPr>
  </w:style>
  <w:style w:type="paragraph" w:styleId="NoSpacing">
    <w:name w:val="No Spacing"/>
    <w:link w:val="NoSpacingChar"/>
    <w:uiPriority w:val="1"/>
    <w:qFormat/>
    <w:rsid w:val="007D1111"/>
    <w:rPr>
      <w:rFonts w:ascii="Calibri" w:eastAsia="Calibri" w:hAnsi="Calibri" w:cs="Times New Roman"/>
      <w:sz w:val="22"/>
      <w:szCs w:val="22"/>
    </w:rPr>
  </w:style>
  <w:style w:type="character" w:customStyle="1" w:styleId="NoSpacingChar">
    <w:name w:val="No Spacing Char"/>
    <w:link w:val="NoSpacing"/>
    <w:uiPriority w:val="1"/>
    <w:rsid w:val="007D1111"/>
    <w:rPr>
      <w:rFonts w:ascii="Calibri" w:eastAsia="Calibri" w:hAnsi="Calibri" w:cs="Times New Roman"/>
      <w:sz w:val="22"/>
      <w:szCs w:val="22"/>
    </w:rPr>
  </w:style>
  <w:style w:type="paragraph" w:styleId="Header">
    <w:name w:val="header"/>
    <w:basedOn w:val="Normal"/>
    <w:link w:val="HeaderChar"/>
    <w:uiPriority w:val="99"/>
    <w:unhideWhenUsed/>
    <w:rsid w:val="007D1111"/>
    <w:pPr>
      <w:tabs>
        <w:tab w:val="center" w:pos="4680"/>
        <w:tab w:val="right" w:pos="9360"/>
      </w:tabs>
    </w:pPr>
  </w:style>
  <w:style w:type="character" w:customStyle="1" w:styleId="HeaderChar">
    <w:name w:val="Header Char"/>
    <w:basedOn w:val="DefaultParagraphFont"/>
    <w:link w:val="Header"/>
    <w:uiPriority w:val="99"/>
    <w:rsid w:val="007D1111"/>
    <w:rPr>
      <w:rFonts w:ascii="Times New Roman" w:eastAsia="Times New Roman" w:hAnsi="Times New Roman" w:cs="Times New Roman"/>
    </w:rPr>
  </w:style>
  <w:style w:type="paragraph" w:styleId="Footer">
    <w:name w:val="footer"/>
    <w:basedOn w:val="Normal"/>
    <w:link w:val="FooterChar"/>
    <w:uiPriority w:val="99"/>
    <w:unhideWhenUsed/>
    <w:rsid w:val="007D1111"/>
    <w:pPr>
      <w:tabs>
        <w:tab w:val="center" w:pos="4680"/>
        <w:tab w:val="right" w:pos="9360"/>
      </w:tabs>
    </w:pPr>
  </w:style>
  <w:style w:type="character" w:customStyle="1" w:styleId="FooterChar">
    <w:name w:val="Footer Char"/>
    <w:basedOn w:val="DefaultParagraphFont"/>
    <w:link w:val="Footer"/>
    <w:uiPriority w:val="99"/>
    <w:rsid w:val="007D111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8743">
      <w:bodyDiv w:val="1"/>
      <w:marLeft w:val="0"/>
      <w:marRight w:val="0"/>
      <w:marTop w:val="0"/>
      <w:marBottom w:val="0"/>
      <w:divBdr>
        <w:top w:val="none" w:sz="0" w:space="0" w:color="auto"/>
        <w:left w:val="none" w:sz="0" w:space="0" w:color="auto"/>
        <w:bottom w:val="none" w:sz="0" w:space="0" w:color="auto"/>
        <w:right w:val="none" w:sz="0" w:space="0" w:color="auto"/>
      </w:divBdr>
      <w:divsChild>
        <w:div w:id="1943417781">
          <w:marLeft w:val="0"/>
          <w:marRight w:val="0"/>
          <w:marTop w:val="0"/>
          <w:marBottom w:val="0"/>
          <w:divBdr>
            <w:top w:val="none" w:sz="0" w:space="0" w:color="auto"/>
            <w:left w:val="none" w:sz="0" w:space="0" w:color="auto"/>
            <w:bottom w:val="none" w:sz="0" w:space="0" w:color="auto"/>
            <w:right w:val="none" w:sz="0" w:space="0" w:color="auto"/>
          </w:divBdr>
          <w:divsChild>
            <w:div w:id="479613077">
              <w:marLeft w:val="0"/>
              <w:marRight w:val="0"/>
              <w:marTop w:val="0"/>
              <w:marBottom w:val="0"/>
              <w:divBdr>
                <w:top w:val="none" w:sz="0" w:space="0" w:color="auto"/>
                <w:left w:val="none" w:sz="0" w:space="0" w:color="auto"/>
                <w:bottom w:val="none" w:sz="0" w:space="0" w:color="auto"/>
                <w:right w:val="none" w:sz="0" w:space="0" w:color="auto"/>
              </w:divBdr>
              <w:divsChild>
                <w:div w:id="20250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8706">
          <w:marLeft w:val="0"/>
          <w:marRight w:val="0"/>
          <w:marTop w:val="0"/>
          <w:marBottom w:val="0"/>
          <w:divBdr>
            <w:top w:val="none" w:sz="0" w:space="0" w:color="auto"/>
            <w:left w:val="none" w:sz="0" w:space="0" w:color="auto"/>
            <w:bottom w:val="none" w:sz="0" w:space="0" w:color="auto"/>
            <w:right w:val="none" w:sz="0" w:space="0" w:color="auto"/>
          </w:divBdr>
          <w:divsChild>
            <w:div w:id="2050378824">
              <w:marLeft w:val="0"/>
              <w:marRight w:val="0"/>
              <w:marTop w:val="0"/>
              <w:marBottom w:val="0"/>
              <w:divBdr>
                <w:top w:val="none" w:sz="0" w:space="0" w:color="auto"/>
                <w:left w:val="none" w:sz="0" w:space="0" w:color="auto"/>
                <w:bottom w:val="none" w:sz="0" w:space="0" w:color="auto"/>
                <w:right w:val="none" w:sz="0" w:space="0" w:color="auto"/>
              </w:divBdr>
              <w:divsChild>
                <w:div w:id="10563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94058">
      <w:bodyDiv w:val="1"/>
      <w:marLeft w:val="0"/>
      <w:marRight w:val="0"/>
      <w:marTop w:val="0"/>
      <w:marBottom w:val="0"/>
      <w:divBdr>
        <w:top w:val="none" w:sz="0" w:space="0" w:color="auto"/>
        <w:left w:val="none" w:sz="0" w:space="0" w:color="auto"/>
        <w:bottom w:val="none" w:sz="0" w:space="0" w:color="auto"/>
        <w:right w:val="none" w:sz="0" w:space="0" w:color="auto"/>
      </w:divBdr>
      <w:divsChild>
        <w:div w:id="434863945">
          <w:marLeft w:val="0"/>
          <w:marRight w:val="0"/>
          <w:marTop w:val="0"/>
          <w:marBottom w:val="0"/>
          <w:divBdr>
            <w:top w:val="none" w:sz="0" w:space="0" w:color="auto"/>
            <w:left w:val="none" w:sz="0" w:space="0" w:color="auto"/>
            <w:bottom w:val="none" w:sz="0" w:space="0" w:color="auto"/>
            <w:right w:val="none" w:sz="0" w:space="0" w:color="auto"/>
          </w:divBdr>
          <w:divsChild>
            <w:div w:id="1164475405">
              <w:marLeft w:val="0"/>
              <w:marRight w:val="0"/>
              <w:marTop w:val="0"/>
              <w:marBottom w:val="0"/>
              <w:divBdr>
                <w:top w:val="none" w:sz="0" w:space="0" w:color="auto"/>
                <w:left w:val="none" w:sz="0" w:space="0" w:color="auto"/>
                <w:bottom w:val="none" w:sz="0" w:space="0" w:color="auto"/>
                <w:right w:val="none" w:sz="0" w:space="0" w:color="auto"/>
              </w:divBdr>
              <w:divsChild>
                <w:div w:id="11462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373</Words>
  <Characters>6086</Characters>
  <Application>Microsoft Office Word</Application>
  <DocSecurity>0</DocSecurity>
  <Lines>243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Randle</dc:creator>
  <cp:keywords/>
  <dc:description/>
  <cp:lastModifiedBy>Chelsea Randle</cp:lastModifiedBy>
  <cp:revision>4</cp:revision>
  <cp:lastPrinted>2022-11-04T15:17:00Z</cp:lastPrinted>
  <dcterms:created xsi:type="dcterms:W3CDTF">2022-11-04T14:57:00Z</dcterms:created>
  <dcterms:modified xsi:type="dcterms:W3CDTF">2023-08-03T18:17:00Z</dcterms:modified>
</cp:coreProperties>
</file>